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9A7C" w14:textId="77777777" w:rsidR="00BA4DE7" w:rsidRDefault="00BA4DE7" w:rsidP="00BA4DE7">
      <w:pPr>
        <w:pStyle w:val="TitleText"/>
      </w:pPr>
    </w:p>
    <w:p w14:paraId="0CB65341" w14:textId="77777777" w:rsidR="00BA4DE7" w:rsidRDefault="00BA4DE7" w:rsidP="00BA4DE7">
      <w:pPr>
        <w:pStyle w:val="TitleText"/>
      </w:pPr>
    </w:p>
    <w:p w14:paraId="49A48DAC" w14:textId="77777777" w:rsidR="00BA4DE7" w:rsidRDefault="00BA4DE7" w:rsidP="00BA4DE7">
      <w:pPr>
        <w:pStyle w:val="TitleText"/>
      </w:pPr>
    </w:p>
    <w:p w14:paraId="48DBEE01" w14:textId="77777777" w:rsidR="00BA4DE7" w:rsidRDefault="00BA4DE7" w:rsidP="00BA4DE7">
      <w:pPr>
        <w:pStyle w:val="TitleText"/>
      </w:pPr>
    </w:p>
    <w:p w14:paraId="38467322" w14:textId="77777777" w:rsidR="00BA4DE7" w:rsidRDefault="00BA4DE7" w:rsidP="00BA4DE7">
      <w:pPr>
        <w:pStyle w:val="TitleText"/>
      </w:pPr>
    </w:p>
    <w:p w14:paraId="01BB9FDE" w14:textId="77777777" w:rsidR="00BA4DE7" w:rsidRDefault="00BA4DE7" w:rsidP="00BA4DE7"/>
    <w:p w14:paraId="15F0CA30" w14:textId="77777777" w:rsidR="00BA4DE7" w:rsidRDefault="00BA4DE7" w:rsidP="00BA4DE7"/>
    <w:p w14:paraId="5189524E" w14:textId="77777777" w:rsidR="00BA4DE7" w:rsidRPr="00BA4DE7" w:rsidRDefault="00BA4DE7" w:rsidP="00BA4DE7"/>
    <w:p w14:paraId="1C275407" w14:textId="77777777" w:rsidR="00BA4DE7" w:rsidRDefault="00BA4DE7" w:rsidP="00BA4DE7">
      <w:pPr>
        <w:pStyle w:val="TitleText"/>
      </w:pPr>
    </w:p>
    <w:p w14:paraId="2BCF5448" w14:textId="77777777" w:rsidR="00BA4DE7" w:rsidRDefault="00BA4DE7" w:rsidP="00BA4DE7"/>
    <w:p w14:paraId="4BE1096D" w14:textId="77777777" w:rsidR="00BA4DE7" w:rsidRDefault="00BA4DE7" w:rsidP="00BA4DE7"/>
    <w:p w14:paraId="13336814" w14:textId="77777777" w:rsidR="00BA4DE7" w:rsidRDefault="00BA4DE7" w:rsidP="00BA4DE7"/>
    <w:p w14:paraId="362C73B3" w14:textId="77777777" w:rsidR="00BA4DE7" w:rsidRDefault="00BA4DE7" w:rsidP="00BA4DE7"/>
    <w:p w14:paraId="625F68DA" w14:textId="77777777" w:rsidR="00BA4DE7" w:rsidRDefault="00BA4DE7" w:rsidP="00BA4DE7"/>
    <w:p w14:paraId="01465056" w14:textId="77777777" w:rsidR="00BA4DE7" w:rsidRPr="00BA4DE7" w:rsidRDefault="00BA4DE7" w:rsidP="00BA4DE7"/>
    <w:p w14:paraId="01849E41" w14:textId="77777777" w:rsidR="00BA4DE7" w:rsidRDefault="00BA4DE7" w:rsidP="00BA4DE7">
      <w:pPr>
        <w:pStyle w:val="TitleText"/>
      </w:pPr>
      <w:r w:rsidRPr="00C219D2">
        <w:t xml:space="preserve">POLITIKA PRIMITAKA </w:t>
      </w:r>
    </w:p>
    <w:p w14:paraId="57B7E121" w14:textId="77777777" w:rsidR="00BA4DE7" w:rsidRDefault="00BA4DE7" w:rsidP="00BA4DE7">
      <w:pPr>
        <w:pStyle w:val="TitleText"/>
      </w:pPr>
      <w:r w:rsidRPr="00C219D2">
        <w:t>ČLANOVA UPRAVE CIAK GRUP</w:t>
      </w:r>
      <w:r>
        <w:t>A</w:t>
      </w:r>
      <w:r w:rsidRPr="00C219D2">
        <w:t xml:space="preserve"> d.</w:t>
      </w:r>
      <w:r>
        <w:t>d.</w:t>
      </w:r>
    </w:p>
    <w:p w14:paraId="44449932" w14:textId="77777777" w:rsidR="00BA4DE7" w:rsidRDefault="00BA4DE7" w:rsidP="00BA4DE7">
      <w:pPr>
        <w:pStyle w:val="TitleText"/>
      </w:pPr>
      <w:r>
        <w:t>2024.-2027.</w:t>
      </w:r>
    </w:p>
    <w:p w14:paraId="16B5FB78" w14:textId="77777777" w:rsidR="00BA4DE7" w:rsidRDefault="00BA4DE7" w:rsidP="00BA4DE7"/>
    <w:p w14:paraId="5E7CD813" w14:textId="77777777" w:rsidR="00BA4DE7" w:rsidRDefault="00BA4DE7" w:rsidP="00BA4DE7"/>
    <w:p w14:paraId="767A348E" w14:textId="77777777" w:rsidR="00BA4DE7" w:rsidRDefault="00BA4DE7" w:rsidP="00BA4DE7"/>
    <w:p w14:paraId="493F1BC1" w14:textId="77777777" w:rsidR="00BA4DE7" w:rsidRDefault="00BA4DE7" w:rsidP="00BA4DE7"/>
    <w:p w14:paraId="151891CF" w14:textId="77777777" w:rsidR="00BA4DE7" w:rsidRDefault="00BA4DE7" w:rsidP="00BA4DE7"/>
    <w:p w14:paraId="6A9E6BBE" w14:textId="77777777" w:rsidR="00BA4DE7" w:rsidRDefault="00BA4DE7" w:rsidP="00BA4DE7"/>
    <w:p w14:paraId="5A98450B" w14:textId="77777777" w:rsidR="00BA4DE7" w:rsidRDefault="00BA4DE7" w:rsidP="00BA4DE7"/>
    <w:p w14:paraId="1E9D9BDA" w14:textId="77777777" w:rsidR="00BA4DE7" w:rsidRDefault="00BA4DE7" w:rsidP="00BA4DE7"/>
    <w:p w14:paraId="1F70C068" w14:textId="77777777" w:rsidR="00BA4DE7" w:rsidRDefault="00BA4DE7" w:rsidP="00BA4DE7"/>
    <w:p w14:paraId="439210D3" w14:textId="77777777" w:rsidR="00BA4DE7" w:rsidRDefault="00BA4DE7" w:rsidP="00BA4DE7"/>
    <w:p w14:paraId="559C4D96" w14:textId="77777777" w:rsidR="00BA4DE7" w:rsidRDefault="00BA4DE7" w:rsidP="00BA4DE7"/>
    <w:p w14:paraId="685952A6" w14:textId="77777777" w:rsidR="00BA4DE7" w:rsidRDefault="00BA4DE7" w:rsidP="00BA4DE7"/>
    <w:p w14:paraId="45C49E5E" w14:textId="77777777" w:rsidR="00BA4DE7" w:rsidRDefault="00BA4DE7" w:rsidP="00BA4DE7"/>
    <w:p w14:paraId="22FC63DA" w14:textId="77777777" w:rsidR="00BA4DE7" w:rsidRDefault="00BA4DE7" w:rsidP="00BA4DE7"/>
    <w:p w14:paraId="478F64A8" w14:textId="77777777" w:rsidR="00BA4DE7" w:rsidRDefault="00BA4DE7" w:rsidP="00BA4DE7"/>
    <w:p w14:paraId="63155F4A" w14:textId="77777777" w:rsidR="00BA4DE7" w:rsidRDefault="00BA4DE7" w:rsidP="00BA4DE7"/>
    <w:p w14:paraId="45F5870E" w14:textId="77777777" w:rsidR="00BA4DE7" w:rsidRDefault="00BA4DE7" w:rsidP="00BA4DE7"/>
    <w:p w14:paraId="774AF082" w14:textId="77777777" w:rsidR="00BA4DE7" w:rsidRDefault="00BA4DE7" w:rsidP="00BA4DE7"/>
    <w:p w14:paraId="10F9B5EC" w14:textId="77777777" w:rsidR="00BA4DE7" w:rsidRDefault="00BA4DE7" w:rsidP="00BA4DE7"/>
    <w:p w14:paraId="56C4DA9A" w14:textId="77777777" w:rsidR="00BA4DE7" w:rsidRDefault="00BA4DE7" w:rsidP="00BA4DE7"/>
    <w:p w14:paraId="590324CE" w14:textId="77777777" w:rsidR="00BA4DE7" w:rsidRDefault="00BA4DE7" w:rsidP="00BA4DE7"/>
    <w:p w14:paraId="68A7CB06" w14:textId="77777777" w:rsidR="00BA4DE7" w:rsidRPr="00C219D2" w:rsidRDefault="00BA4DE7" w:rsidP="00BA4DE7">
      <w:pPr>
        <w:pStyle w:val="StyleCentered"/>
      </w:pPr>
      <w:r w:rsidRPr="00C219D2">
        <w:t>Sadržaj</w:t>
      </w:r>
    </w:p>
    <w:p w14:paraId="08249D5E" w14:textId="77777777" w:rsidR="00BA4DE7" w:rsidRPr="00C219D2" w:rsidRDefault="00BA4DE7" w:rsidP="00BA4DE7"/>
    <w:p w14:paraId="1FADFC8E" w14:textId="40D003D3" w:rsidR="00E25B9F" w:rsidRDefault="00BA4DE7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r w:rsidRPr="00C219D2">
        <w:fldChar w:fldCharType="begin"/>
      </w:r>
      <w:r w:rsidRPr="00C219D2">
        <w:instrText xml:space="preserve"> TOC \o "1-3" \h \z \u </w:instrText>
      </w:r>
      <w:r w:rsidRPr="00C219D2">
        <w:fldChar w:fldCharType="separate"/>
      </w:r>
      <w:hyperlink w:anchor="_Toc153279947" w:history="1">
        <w:r w:rsidR="00E25B9F" w:rsidRPr="00A02D6A">
          <w:rPr>
            <w:rStyle w:val="Hyperlink"/>
            <w:noProof/>
          </w:rPr>
          <w:t>1 TEMELJNA PRAVILA</w:t>
        </w:r>
        <w:r w:rsidR="00E25B9F">
          <w:rPr>
            <w:noProof/>
            <w:webHidden/>
          </w:rPr>
          <w:tab/>
        </w:r>
        <w:r w:rsidR="00E25B9F">
          <w:rPr>
            <w:noProof/>
            <w:webHidden/>
          </w:rPr>
          <w:fldChar w:fldCharType="begin"/>
        </w:r>
        <w:r w:rsidR="00E25B9F">
          <w:rPr>
            <w:noProof/>
            <w:webHidden/>
          </w:rPr>
          <w:instrText xml:space="preserve"> PAGEREF _Toc153279947 \h </w:instrText>
        </w:r>
        <w:r w:rsidR="00E25B9F">
          <w:rPr>
            <w:noProof/>
            <w:webHidden/>
          </w:rPr>
        </w:r>
        <w:r w:rsidR="00E25B9F">
          <w:rPr>
            <w:noProof/>
            <w:webHidden/>
          </w:rPr>
          <w:fldChar w:fldCharType="separate"/>
        </w:r>
        <w:r w:rsidR="00E25B9F">
          <w:rPr>
            <w:noProof/>
            <w:webHidden/>
          </w:rPr>
          <w:t>3</w:t>
        </w:r>
        <w:r w:rsidR="00E25B9F">
          <w:rPr>
            <w:noProof/>
            <w:webHidden/>
          </w:rPr>
          <w:fldChar w:fldCharType="end"/>
        </w:r>
      </w:hyperlink>
    </w:p>
    <w:p w14:paraId="70BE8808" w14:textId="303B2B68" w:rsidR="00E25B9F" w:rsidRDefault="00E25B9F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3279948" w:history="1">
        <w:r w:rsidRPr="00A02D6A">
          <w:rPr>
            <w:rStyle w:val="Hyperlink"/>
            <w:noProof/>
          </w:rPr>
          <w:t>2 UVJETI ZA PRIMITKE ČLANOVA UPRAVE I MENADŽMENTA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_Toc153279948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75A0CD" w14:textId="558786B4" w:rsidR="00E25B9F" w:rsidRDefault="00E25B9F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3279949" w:history="1">
        <w:r w:rsidRPr="00A02D6A">
          <w:rPr>
            <w:rStyle w:val="Hyperlink"/>
            <w:noProof/>
          </w:rPr>
          <w:t>2.1. Opće odredbe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_Toc153279949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A6C917" w14:textId="4F2E5A28" w:rsidR="00E25B9F" w:rsidRDefault="00E25B9F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3279950" w:history="1">
        <w:r w:rsidRPr="00A02D6A">
          <w:rPr>
            <w:rStyle w:val="Hyperlink"/>
            <w:noProof/>
          </w:rPr>
          <w:t>2.2. Fiksna komponenta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_Toc153279950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7D516C" w14:textId="72E8522C" w:rsidR="00E25B9F" w:rsidRDefault="00E25B9F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3279951" w:history="1">
        <w:r w:rsidRPr="00A02D6A">
          <w:rPr>
            <w:rStyle w:val="Hyperlink"/>
            <w:noProof/>
          </w:rPr>
          <w:t>2.3. Varijabilna komponenta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_Toc153279951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A95C74" w14:textId="4A3C3BDA" w:rsidR="00E25B9F" w:rsidRDefault="00E25B9F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3279952" w:history="1">
        <w:r w:rsidRPr="00A02D6A">
          <w:rPr>
            <w:rStyle w:val="Hyperlink"/>
            <w:noProof/>
          </w:rPr>
          <w:t>2.4. Dugoročna varijabilna komponenta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_Toc153279952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4C74CE" w14:textId="450635A9" w:rsidR="00E25B9F" w:rsidRDefault="00E25B9F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3279953" w:history="1">
        <w:r w:rsidRPr="00A02D6A">
          <w:rPr>
            <w:rStyle w:val="Hyperlink"/>
            <w:noProof/>
          </w:rPr>
          <w:t>2.5. Dionice i ostalo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_Toc153279953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29D230" w14:textId="7F90CCD3" w:rsidR="00E25B9F" w:rsidRDefault="00E25B9F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3279954" w:history="1">
        <w:r w:rsidRPr="00A02D6A">
          <w:rPr>
            <w:rStyle w:val="Hyperlink"/>
            <w:noProof/>
          </w:rPr>
          <w:t>3. Menadžerski ugovor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_Toc153279954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7153A2" w14:textId="4C8B5423" w:rsidR="00E25B9F" w:rsidRDefault="00E25B9F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3279955" w:history="1">
        <w:r w:rsidRPr="00A02D6A">
          <w:rPr>
            <w:rStyle w:val="Hyperlink"/>
            <w:noProof/>
          </w:rPr>
          <w:t>4. POSTUPANJE NADZORNOG ODBORA I ODSTUPANJE OD POLITIKE PRIMITAKA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_Toc153279955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A21950" w14:textId="7BE3050A" w:rsidR="00E25B9F" w:rsidRDefault="00E25B9F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3279956" w:history="1">
        <w:r w:rsidRPr="00A02D6A">
          <w:rPr>
            <w:rStyle w:val="Hyperlink"/>
            <w:noProof/>
          </w:rPr>
          <w:t>5. IZVJEŠĆE O PRIMICIMA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_Toc153279956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B1D306" w14:textId="3A4A8F12" w:rsidR="00E25B9F" w:rsidRDefault="00E25B9F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3279957" w:history="1">
        <w:r w:rsidRPr="00A02D6A">
          <w:rPr>
            <w:rStyle w:val="Hyperlink"/>
            <w:noProof/>
          </w:rPr>
          <w:t>6. Završne odredbe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_Toc153279957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F6330DE" w14:textId="20F97987" w:rsidR="00BA4DE7" w:rsidRDefault="00BA4DE7" w:rsidP="00BA4DE7">
      <w:r w:rsidRPr="00C219D2">
        <w:fldChar w:fldCharType="end"/>
      </w:r>
    </w:p>
    <w:p w14:paraId="3B56735D" w14:textId="77777777" w:rsidR="00BA4DE7" w:rsidRDefault="00BA4DE7" w:rsidP="00BA4DE7"/>
    <w:p w14:paraId="7E9491E5" w14:textId="77777777" w:rsidR="00BA4DE7" w:rsidRDefault="00BA4DE7" w:rsidP="00BA4DE7"/>
    <w:p w14:paraId="24ADF99A" w14:textId="77777777" w:rsidR="00BA4DE7" w:rsidRDefault="00BA4DE7" w:rsidP="00BA4DE7"/>
    <w:p w14:paraId="414D42B7" w14:textId="77777777" w:rsidR="00BA4DE7" w:rsidRDefault="00BA4DE7" w:rsidP="00BA4DE7"/>
    <w:p w14:paraId="4C05420B" w14:textId="77777777" w:rsidR="00BA4DE7" w:rsidRDefault="00BA4DE7" w:rsidP="00BA4DE7"/>
    <w:p w14:paraId="00C3787E" w14:textId="77777777" w:rsidR="00BA4DE7" w:rsidRDefault="00BA4DE7" w:rsidP="00BA4DE7"/>
    <w:p w14:paraId="65F21ABD" w14:textId="77777777" w:rsidR="00BA4DE7" w:rsidRDefault="00BA4DE7" w:rsidP="00BA4DE7"/>
    <w:p w14:paraId="13F8C1DF" w14:textId="77777777" w:rsidR="00BA4DE7" w:rsidRDefault="00BA4DE7" w:rsidP="00BA4DE7"/>
    <w:p w14:paraId="49323498" w14:textId="77777777" w:rsidR="00BA4DE7" w:rsidRDefault="00BA4DE7" w:rsidP="00BA4DE7"/>
    <w:p w14:paraId="261887FB" w14:textId="77777777" w:rsidR="00BA4DE7" w:rsidRDefault="00BA4DE7" w:rsidP="00BA4DE7"/>
    <w:p w14:paraId="16257D15" w14:textId="77777777" w:rsidR="00BA4DE7" w:rsidRDefault="00BA4DE7" w:rsidP="00BA4DE7"/>
    <w:p w14:paraId="373C3A63" w14:textId="77777777" w:rsidR="00BA4DE7" w:rsidRDefault="00BA4DE7" w:rsidP="00BA4DE7"/>
    <w:p w14:paraId="1C98C4CE" w14:textId="77777777" w:rsidR="00BA4DE7" w:rsidRDefault="00BA4DE7" w:rsidP="00BA4DE7"/>
    <w:p w14:paraId="2BC2C856" w14:textId="77777777" w:rsidR="00BA4DE7" w:rsidRDefault="00BA4DE7" w:rsidP="00BA4DE7"/>
    <w:p w14:paraId="5C8EB17A" w14:textId="4DAD88E5" w:rsidR="00E25B9F" w:rsidRDefault="00E25B9F">
      <w:pPr>
        <w:spacing w:before="0" w:after="160" w:line="259" w:lineRule="auto"/>
        <w:jc w:val="left"/>
      </w:pPr>
      <w:r>
        <w:br w:type="page"/>
      </w:r>
    </w:p>
    <w:p w14:paraId="1569A025" w14:textId="77777777" w:rsidR="00E25B9F" w:rsidRDefault="00E25B9F" w:rsidP="00BA4DE7"/>
    <w:p w14:paraId="25487CBC" w14:textId="77777777" w:rsidR="00BA4DE7" w:rsidRPr="00C219D2" w:rsidRDefault="00BA4DE7" w:rsidP="00E25B9F">
      <w:pPr>
        <w:pStyle w:val="Heading1"/>
      </w:pPr>
      <w:bookmarkStart w:id="0" w:name="_Ref62208933"/>
      <w:bookmarkStart w:id="1" w:name="_Toc153279947"/>
      <w:r w:rsidRPr="00C219D2">
        <w:t>TEMELJNA PRAVILA</w:t>
      </w:r>
      <w:bookmarkEnd w:id="0"/>
      <w:bookmarkEnd w:id="1"/>
    </w:p>
    <w:p w14:paraId="68E610A3" w14:textId="77777777" w:rsidR="00BA4DE7" w:rsidRPr="00C219D2" w:rsidRDefault="00BA4DE7" w:rsidP="00BA4DE7">
      <w:pPr>
        <w:pStyle w:val="stavke"/>
      </w:pPr>
      <w:r w:rsidRPr="00C219D2">
        <w:t xml:space="preserve">Sukladno strategiji nagrađivanja, prilikom utvrđivanja raspona plaća za pojedino radno mjesto CIAK Grupa razmatra svoju konkurentnost na tržištu te raspon plaća usklađuje sa složenošću pojedinog posla i radnog mjesta, odgovornostima radnog mjesta te potrebnom kvalifikacijom sukladno opisu radnog mjesta. S tim ciljem </w:t>
      </w:r>
      <w:r>
        <w:t xml:space="preserve">CIAK </w:t>
      </w:r>
      <w:r w:rsidRPr="00C219D2">
        <w:t>G</w:t>
      </w:r>
      <w:r>
        <w:t>rup</w:t>
      </w:r>
      <w:r w:rsidRPr="00C219D2">
        <w:t>a redovito prati kretanja na tržištu rada i tržištu plaća te ovisno o promjenama na istome donosi daljnje odluke.</w:t>
      </w:r>
    </w:p>
    <w:p w14:paraId="5D191CF9" w14:textId="77777777" w:rsidR="00BA4DE7" w:rsidRPr="00C219D2" w:rsidRDefault="00BA4DE7" w:rsidP="00BA4DE7">
      <w:pPr>
        <w:pStyle w:val="stavke"/>
      </w:pPr>
      <w:r w:rsidRPr="00C219D2">
        <w:t xml:space="preserve">Prilikom </w:t>
      </w:r>
      <w:r>
        <w:t>određivanja rasp</w:t>
      </w:r>
      <w:r w:rsidRPr="00C219D2">
        <w:t>ona plaća i drugih primitaka za po</w:t>
      </w:r>
      <w:r>
        <w:t>jedino radno mjesto CIAK Grupa</w:t>
      </w:r>
      <w:r w:rsidRPr="00C219D2">
        <w:t xml:space="preserve"> usmjer</w:t>
      </w:r>
      <w:r>
        <w:t>ena je na održavanje konzistentnosti</w:t>
      </w:r>
      <w:r w:rsidRPr="00C219D2">
        <w:t xml:space="preserve"> i pravednosti</w:t>
      </w:r>
      <w:r>
        <w:t xml:space="preserve"> </w:t>
      </w:r>
      <w:r w:rsidRPr="00C219D2">
        <w:t>unutar Društva te na prepoznavanje i nagrađivanje individua</w:t>
      </w:r>
      <w:r>
        <w:t>lno</w:t>
      </w:r>
      <w:r w:rsidRPr="00C219D2">
        <w:t>g</w:t>
      </w:r>
      <w:r>
        <w:t xml:space="preserve"> </w:t>
      </w:r>
      <w:r w:rsidRPr="00C219D2">
        <w:t>učinka i postignutih ciljeva.</w:t>
      </w:r>
    </w:p>
    <w:p w14:paraId="27795B8B" w14:textId="77777777" w:rsidR="00BA4DE7" w:rsidRPr="00C219D2" w:rsidRDefault="00BA4DE7" w:rsidP="00BA4DE7">
      <w:pPr>
        <w:pStyle w:val="stavke"/>
      </w:pPr>
      <w:r w:rsidRPr="00C219D2">
        <w:t xml:space="preserve">Cilj politike nagrađivanja jest osigurati konkurentan kompenzacijski paket radnicima i menadžerima CIAK Grupe kako bi se osigurala usmjerenost na ostvarivanje strategije kompanije. </w:t>
      </w:r>
      <w:r>
        <w:t>Osnovna načela nagrađivanja su:</w:t>
      </w:r>
    </w:p>
    <w:p w14:paraId="75B9AA3A" w14:textId="77777777" w:rsidR="00BA4DE7" w:rsidRPr="00C219D2" w:rsidRDefault="00BA4DE7" w:rsidP="00BA4DE7">
      <w:pPr>
        <w:pStyle w:val="stavke"/>
        <w:numPr>
          <w:ilvl w:val="0"/>
          <w:numId w:val="0"/>
        </w:numPr>
        <w:ind w:left="567"/>
      </w:pPr>
      <w:r>
        <w:t>- i</w:t>
      </w:r>
      <w:r w:rsidRPr="00C219D2">
        <w:t>nterna pravednos</w:t>
      </w:r>
      <w:r>
        <w:t>t u primanjima na svim razinama,</w:t>
      </w:r>
    </w:p>
    <w:p w14:paraId="6EC45EE4" w14:textId="77777777" w:rsidR="00BA4DE7" w:rsidRDefault="00BA4DE7" w:rsidP="00BA4DE7">
      <w:pPr>
        <w:pStyle w:val="stavke"/>
        <w:numPr>
          <w:ilvl w:val="0"/>
          <w:numId w:val="0"/>
        </w:numPr>
        <w:ind w:left="567"/>
      </w:pPr>
      <w:r>
        <w:t>-</w:t>
      </w:r>
      <w:r w:rsidRPr="00C219D2">
        <w:t xml:space="preserve"> redovito praćenje  tržišnih kretanja i održavanje konkurentnosti</w:t>
      </w:r>
      <w:r>
        <w:t>,</w:t>
      </w:r>
    </w:p>
    <w:p w14:paraId="7E79395A" w14:textId="77777777" w:rsidR="00BA4DE7" w:rsidRDefault="00BA4DE7" w:rsidP="00BA4DE7">
      <w:pPr>
        <w:pStyle w:val="stavke"/>
        <w:numPr>
          <w:ilvl w:val="0"/>
          <w:numId w:val="0"/>
        </w:numPr>
        <w:ind w:left="567"/>
      </w:pPr>
      <w:r>
        <w:t>-</w:t>
      </w:r>
      <w:r w:rsidRPr="00C219D2">
        <w:t xml:space="preserve"> </w:t>
      </w:r>
      <w:r>
        <w:t>n</w:t>
      </w:r>
      <w:r w:rsidRPr="00C219D2">
        <w:t xml:space="preserve">agrađivanje radnika i menadžera na temelju individualnog učinka potaknutog ukupnim </w:t>
      </w:r>
      <w:r>
        <w:t xml:space="preserve">    </w:t>
      </w:r>
    </w:p>
    <w:p w14:paraId="0B9A1A86" w14:textId="77777777" w:rsidR="00BA4DE7" w:rsidRDefault="00BA4DE7" w:rsidP="00BA4DE7">
      <w:pPr>
        <w:pStyle w:val="stavke"/>
        <w:numPr>
          <w:ilvl w:val="0"/>
          <w:numId w:val="0"/>
        </w:numPr>
        <w:ind w:left="567" w:hanging="567"/>
      </w:pPr>
      <w:r>
        <w:t xml:space="preserve">            </w:t>
      </w:r>
      <w:r w:rsidRPr="00C219D2">
        <w:t>rezultatima društva</w:t>
      </w:r>
      <w:r>
        <w:t>,</w:t>
      </w:r>
    </w:p>
    <w:p w14:paraId="31F83EA7" w14:textId="77777777" w:rsidR="00BA4DE7" w:rsidRPr="00C219D2" w:rsidRDefault="00BA4DE7" w:rsidP="00BA4DE7">
      <w:pPr>
        <w:pStyle w:val="stavke"/>
        <w:numPr>
          <w:ilvl w:val="0"/>
          <w:numId w:val="0"/>
        </w:numPr>
        <w:ind w:left="567"/>
      </w:pPr>
      <w:r>
        <w:t>- o</w:t>
      </w:r>
      <w:r w:rsidRPr="00C219D2">
        <w:t>siguranje objektivnosti i dosljednosti za sve radnike i menadžere</w:t>
      </w:r>
      <w:r>
        <w:t>,</w:t>
      </w:r>
    </w:p>
    <w:p w14:paraId="1B885A72" w14:textId="77777777" w:rsidR="00BA4DE7" w:rsidRDefault="00BA4DE7" w:rsidP="00BA4DE7">
      <w:pPr>
        <w:pStyle w:val="stavke"/>
        <w:numPr>
          <w:ilvl w:val="0"/>
          <w:numId w:val="0"/>
        </w:numPr>
        <w:ind w:left="567"/>
      </w:pPr>
      <w:r>
        <w:t>- v</w:t>
      </w:r>
      <w:r w:rsidRPr="00C219D2">
        <w:t xml:space="preserve">rednovanje složenosti svakog pojedinog radnog mjesta sukladno internim </w:t>
      </w:r>
      <w:r>
        <w:t xml:space="preserve">  </w:t>
      </w:r>
    </w:p>
    <w:p w14:paraId="59028FB8" w14:textId="77777777" w:rsidR="00BA4DE7" w:rsidRPr="00C219D2" w:rsidRDefault="00BA4DE7" w:rsidP="00BA4DE7">
      <w:pPr>
        <w:pStyle w:val="stavke"/>
        <w:numPr>
          <w:ilvl w:val="0"/>
          <w:numId w:val="0"/>
        </w:numPr>
        <w:ind w:left="567"/>
      </w:pPr>
      <w:r>
        <w:t xml:space="preserve">   </w:t>
      </w:r>
      <w:r w:rsidRPr="0048177E">
        <w:t>aktima</w:t>
      </w:r>
      <w:r w:rsidR="0048177E">
        <w:t>.</w:t>
      </w:r>
    </w:p>
    <w:p w14:paraId="52506A8C" w14:textId="77777777" w:rsidR="00BA4DE7" w:rsidRPr="00C219D2" w:rsidRDefault="00BA4DE7" w:rsidP="00BA4DE7">
      <w:pPr>
        <w:pStyle w:val="stavke"/>
        <w:numPr>
          <w:ilvl w:val="0"/>
          <w:numId w:val="0"/>
        </w:numPr>
        <w:ind w:left="567"/>
      </w:pPr>
    </w:p>
    <w:p w14:paraId="72145B7E" w14:textId="77777777" w:rsidR="00BA4DE7" w:rsidRPr="00C219D2" w:rsidRDefault="00BA4DE7" w:rsidP="00BA4DE7">
      <w:pPr>
        <w:pStyle w:val="stavke"/>
      </w:pPr>
      <w:r w:rsidRPr="00C219D2">
        <w:t xml:space="preserve">Ukupna primanja, a posebno varijabilna primanja članova Uprave usklađena su s poslovnom strategijom te osiguravaju ostvarivanje </w:t>
      </w:r>
      <w:r>
        <w:t xml:space="preserve">kratkoročnih i </w:t>
      </w:r>
      <w:r w:rsidRPr="00C219D2">
        <w:t>dugoročnih interesa i održivosti društva. Varijabilni dio primanja članova Uprave koji se određuj</w:t>
      </w:r>
      <w:r>
        <w:t>e</w:t>
      </w:r>
      <w:r w:rsidRPr="00C219D2">
        <w:t xml:space="preserve"> sukladno ostvarenju ciljeva </w:t>
      </w:r>
      <w:r>
        <w:t>u pravilu su ujedno</w:t>
      </w:r>
      <w:r w:rsidRPr="00C219D2">
        <w:t xml:space="preserve"> i individualni ciljevi članova Uprave. Predmetni ciljevi definiraju se jednom godišnje te su usklađeni s poslovnim planovima, dugoročnim interesima te doprinose održivosti CIAK Grupe.</w:t>
      </w:r>
    </w:p>
    <w:p w14:paraId="1206DA6D" w14:textId="77777777" w:rsidR="00BA4DE7" w:rsidRPr="00C219D2" w:rsidRDefault="00BA4DE7" w:rsidP="00BA4DE7">
      <w:pPr>
        <w:pStyle w:val="stavke"/>
        <w:numPr>
          <w:ilvl w:val="0"/>
          <w:numId w:val="0"/>
        </w:numPr>
      </w:pPr>
    </w:p>
    <w:p w14:paraId="2BF63F92" w14:textId="77777777" w:rsidR="00BA4DE7" w:rsidRPr="00E57860" w:rsidRDefault="00BA4DE7" w:rsidP="00E25B9F">
      <w:pPr>
        <w:pStyle w:val="Heading1"/>
      </w:pPr>
      <w:bookmarkStart w:id="2" w:name="_Toc189477486"/>
      <w:bookmarkStart w:id="3" w:name="_Toc190075177"/>
      <w:bookmarkStart w:id="4" w:name="_Toc189477487"/>
      <w:bookmarkStart w:id="5" w:name="_Toc190075178"/>
      <w:bookmarkStart w:id="6" w:name="_Toc189477488"/>
      <w:bookmarkStart w:id="7" w:name="_Toc190075179"/>
      <w:bookmarkStart w:id="8" w:name="_Toc189477490"/>
      <w:bookmarkStart w:id="9" w:name="_Toc190075181"/>
      <w:bookmarkStart w:id="10" w:name="_Toc189477491"/>
      <w:bookmarkStart w:id="11" w:name="_Toc190075182"/>
      <w:bookmarkStart w:id="12" w:name="_Toc15327994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E57860">
        <w:t>UVJETI ZA PRIMITKE ČLANOVA UPRAVE</w:t>
      </w:r>
      <w:r w:rsidR="00F4566F">
        <w:t xml:space="preserve"> </w:t>
      </w:r>
      <w:r w:rsidR="00F4566F" w:rsidRPr="0048177E">
        <w:t>I MENADŽMENTA</w:t>
      </w:r>
      <w:bookmarkEnd w:id="12"/>
    </w:p>
    <w:p w14:paraId="20F191D1" w14:textId="77777777" w:rsidR="00BA4DE7" w:rsidRPr="00C219D2" w:rsidRDefault="00BA4DE7" w:rsidP="00E25B9F">
      <w:pPr>
        <w:pStyle w:val="Heading2"/>
        <w:numPr>
          <w:ilvl w:val="0"/>
          <w:numId w:val="0"/>
        </w:numPr>
        <w:ind w:left="454"/>
      </w:pPr>
      <w:bookmarkStart w:id="13" w:name="_Toc153279949"/>
      <w:r w:rsidRPr="00C219D2">
        <w:t>2.1. Opće odredbe</w:t>
      </w:r>
      <w:bookmarkEnd w:id="13"/>
    </w:p>
    <w:p w14:paraId="6E73C73B" w14:textId="77777777" w:rsidR="00BA4DE7" w:rsidRPr="00C219D2" w:rsidRDefault="00BA4DE7" w:rsidP="00BA4DE7">
      <w:r w:rsidRPr="00C219D2">
        <w:t xml:space="preserve">Politika primitaka članova </w:t>
      </w:r>
      <w:r>
        <w:t>U</w:t>
      </w:r>
      <w:r w:rsidRPr="00C219D2">
        <w:t xml:space="preserve">prave utvrđuje osnovna načela i uvjete nagrađivanja članova </w:t>
      </w:r>
      <w:r>
        <w:t>U</w:t>
      </w:r>
      <w:r w:rsidRPr="00C219D2">
        <w:t>prave koja se odnose na:</w:t>
      </w:r>
    </w:p>
    <w:p w14:paraId="6AAF0723" w14:textId="77777777" w:rsidR="00BA4DE7" w:rsidRPr="002C5C2A" w:rsidRDefault="00BA4DE7" w:rsidP="00BA4DE7">
      <w:r w:rsidRPr="002C5C2A">
        <w:t xml:space="preserve">a) osobe koje ostvaruju pravo na </w:t>
      </w:r>
      <w:r w:rsidR="00A00D52" w:rsidRPr="002C5C2A">
        <w:t>primitke</w:t>
      </w:r>
      <w:r w:rsidRPr="002C5C2A">
        <w:t>,</w:t>
      </w:r>
    </w:p>
    <w:p w14:paraId="57B1A859" w14:textId="77777777" w:rsidR="00BA4DE7" w:rsidRPr="002C5C2A" w:rsidRDefault="00BA4DE7" w:rsidP="00BA4DE7">
      <w:r w:rsidRPr="002C5C2A">
        <w:t xml:space="preserve">b) vrste </w:t>
      </w:r>
      <w:r w:rsidR="00A00D52" w:rsidRPr="002C5C2A">
        <w:t>primitaka,</w:t>
      </w:r>
    </w:p>
    <w:p w14:paraId="559447FB" w14:textId="77777777" w:rsidR="00BA4DE7" w:rsidRPr="002C5C2A" w:rsidRDefault="00BA4DE7" w:rsidP="00BA4DE7">
      <w:r w:rsidRPr="002C5C2A">
        <w:t xml:space="preserve">c) visinu </w:t>
      </w:r>
      <w:r w:rsidR="00A00D52" w:rsidRPr="002C5C2A">
        <w:t>primitaka,</w:t>
      </w:r>
    </w:p>
    <w:p w14:paraId="349A465F" w14:textId="77777777" w:rsidR="00BA4DE7" w:rsidRPr="00C219D2" w:rsidRDefault="00BA4DE7" w:rsidP="00BA4DE7">
      <w:r w:rsidRPr="002C5C2A">
        <w:t xml:space="preserve">d) način isplate </w:t>
      </w:r>
      <w:r w:rsidR="00A00D52" w:rsidRPr="002C5C2A">
        <w:t>primitaka.</w:t>
      </w:r>
    </w:p>
    <w:p w14:paraId="1D8A6A5A" w14:textId="77777777" w:rsidR="00BA4DE7" w:rsidRPr="00C219D2" w:rsidRDefault="00BA4DE7" w:rsidP="00BA4DE7"/>
    <w:p w14:paraId="621ECF3E" w14:textId="77777777" w:rsidR="00BA4DE7" w:rsidRPr="00C219D2" w:rsidRDefault="00BA4DE7" w:rsidP="00BA4DE7">
      <w:r>
        <w:t>Uprava Društva sukladno z</w:t>
      </w:r>
      <w:r w:rsidRPr="00C219D2">
        <w:t xml:space="preserve">akonu i Statutu </w:t>
      </w:r>
      <w:r>
        <w:t>Društva vodi poslove D</w:t>
      </w:r>
      <w:r w:rsidRPr="00C219D2">
        <w:t>ruštva na vlastitu odgovornost.</w:t>
      </w:r>
    </w:p>
    <w:p w14:paraId="5301617A" w14:textId="77777777" w:rsidR="00BA4DE7" w:rsidRPr="00C219D2" w:rsidRDefault="00BA4DE7" w:rsidP="00BA4DE7">
      <w:r>
        <w:t>Sukladno zakonu i Statutu D</w:t>
      </w:r>
      <w:r w:rsidRPr="00C219D2">
        <w:t>ruštva predsjednik</w:t>
      </w:r>
      <w:r>
        <w:t>a</w:t>
      </w:r>
      <w:r w:rsidRPr="00C219D2">
        <w:t xml:space="preserve"> Uprave</w:t>
      </w:r>
      <w:r>
        <w:t xml:space="preserve"> i članove Uprave Društva</w:t>
      </w:r>
      <w:r w:rsidRPr="00C219D2">
        <w:t xml:space="preserve"> (dalje u tekstu: članovi </w:t>
      </w:r>
      <w:r>
        <w:t>U</w:t>
      </w:r>
      <w:r w:rsidRPr="00C219D2">
        <w:t>prave društva) imenuje i opoziva Nadzorni odbor.</w:t>
      </w:r>
    </w:p>
    <w:p w14:paraId="77056AFF" w14:textId="77777777" w:rsidR="00BA4DE7" w:rsidRDefault="00BA4DE7" w:rsidP="00BA4DE7">
      <w:r w:rsidRPr="002C5C2A">
        <w:lastRenderedPageBreak/>
        <w:t xml:space="preserve">Osobe koje ostvaruju pravo na </w:t>
      </w:r>
      <w:r w:rsidR="00A00D52" w:rsidRPr="002C5C2A">
        <w:t xml:space="preserve">primitke </w:t>
      </w:r>
      <w:r w:rsidRPr="002C5C2A">
        <w:t xml:space="preserve">prema pravilima ovog dokumenta su članovi Uprave i menadžmenta. Pravo na  </w:t>
      </w:r>
      <w:r w:rsidR="00A00D52" w:rsidRPr="002C5C2A">
        <w:t xml:space="preserve">primitak </w:t>
      </w:r>
      <w:r w:rsidRPr="002C5C2A">
        <w:t>ili na njezin proporcionalni dio odnosi se na člana Uprave</w:t>
      </w:r>
      <w:r w:rsidRPr="00C219D2">
        <w:t xml:space="preserve"> društva </w:t>
      </w:r>
      <w:r w:rsidR="00A00D52" w:rsidRPr="002C5C2A">
        <w:t>i menadžmenta</w:t>
      </w:r>
      <w:r w:rsidR="00A00D52">
        <w:t xml:space="preserve"> </w:t>
      </w:r>
      <w:r w:rsidRPr="00C219D2">
        <w:t>od dana početka obavljanja funkcije i prestaje danom prestanka obavljanja funkcije, bez obzira na prirodu razloga takvog prestanka funkcij</w:t>
      </w:r>
      <w:r>
        <w:t xml:space="preserve">e. </w:t>
      </w:r>
    </w:p>
    <w:p w14:paraId="25E6A523" w14:textId="77777777" w:rsidR="002C5C2A" w:rsidRDefault="002C5C2A" w:rsidP="00BA4DE7"/>
    <w:p w14:paraId="1C59E3CB" w14:textId="77777777" w:rsidR="00BA4DE7" w:rsidRPr="002C5C2A" w:rsidRDefault="00BA4DE7" w:rsidP="00BA4DE7">
      <w:r w:rsidRPr="002C5C2A">
        <w:t xml:space="preserve">Članovima Uprave i menadžmentu  </w:t>
      </w:r>
      <w:r w:rsidR="00A00D52" w:rsidRPr="002C5C2A">
        <w:t xml:space="preserve">primici </w:t>
      </w:r>
      <w:r w:rsidRPr="002C5C2A">
        <w:t>se isplaćuju u slijedećim komponentama:</w:t>
      </w:r>
    </w:p>
    <w:p w14:paraId="3F849F70" w14:textId="77777777" w:rsidR="00BA4DE7" w:rsidRPr="002C5C2A" w:rsidRDefault="00BA4DE7" w:rsidP="00BA4DE7">
      <w:r w:rsidRPr="002C5C2A">
        <w:t xml:space="preserve">- fiksna </w:t>
      </w:r>
      <w:r w:rsidR="00A00D52" w:rsidRPr="002C5C2A">
        <w:t>komponenta,</w:t>
      </w:r>
    </w:p>
    <w:p w14:paraId="5DE56A78" w14:textId="77777777" w:rsidR="00BA4DE7" w:rsidRPr="002C5C2A" w:rsidRDefault="00BA4DE7" w:rsidP="00BA4DE7">
      <w:r w:rsidRPr="002C5C2A">
        <w:t>- varijabilna komponenta</w:t>
      </w:r>
      <w:r w:rsidR="002C5C2A" w:rsidRPr="002C5C2A">
        <w:t>,</w:t>
      </w:r>
    </w:p>
    <w:p w14:paraId="4532752E" w14:textId="77777777" w:rsidR="00BA4DE7" w:rsidRPr="002C5C2A" w:rsidRDefault="00BA4DE7" w:rsidP="00BA4DE7">
      <w:r w:rsidRPr="002C5C2A">
        <w:t>-ostala davanja i pogodnosti/benefiti.</w:t>
      </w:r>
    </w:p>
    <w:p w14:paraId="3BC63BA7" w14:textId="77777777" w:rsidR="00BA4DE7" w:rsidRPr="002C5C2A" w:rsidRDefault="00BA4DE7" w:rsidP="00BA4DE7">
      <w:r w:rsidRPr="002C5C2A">
        <w:t>Ostala davanja i pogodnosti čine ne-novčane, fiksne primitke, kao primjerice, ali ne isključivo: korištenje službenog automobila, dodatno zdravstveno osiguranje, menadžerski sistematski pregled, dobrovojlno mirovinsko osiguranje, životno osiguranje, D&amp;O osiguranje i sl. u skladu s internim aktima CIAK Grupe. Društvo ima pravo uključiti, isključiti, urediti bilo koji tip ne-novčanog primitka, naknade itd. u skladu s ovom Politikom, temeljem koje će se regulirati međusobni odnosi pod uvjetima i na način kako je to predviđeno odredbama primjenjivog zakonodavstva Republike Hrvatske.</w:t>
      </w:r>
    </w:p>
    <w:p w14:paraId="3EEB5C9F" w14:textId="77777777" w:rsidR="00BA4DE7" w:rsidRPr="002C5C2A" w:rsidRDefault="00BA4DE7" w:rsidP="00BA4DE7">
      <w:r w:rsidRPr="002C5C2A">
        <w:t xml:space="preserve">Sve pripadajuće poreze, prireze i doprinose u vezi s </w:t>
      </w:r>
      <w:r w:rsidR="00F4566F" w:rsidRPr="002C5C2A">
        <w:t xml:space="preserve"> ugovorenim primitkom</w:t>
      </w:r>
      <w:r w:rsidRPr="002C5C2A">
        <w:t xml:space="preserve"> (plaćom i drugim primanjima) obračunavat će i uplaćivati Društvo u skladu s odredbama važećih poreznih propisa.</w:t>
      </w:r>
    </w:p>
    <w:p w14:paraId="664D0944" w14:textId="77777777" w:rsidR="00BA4DE7" w:rsidRPr="002C5C2A" w:rsidRDefault="00BA4DE7" w:rsidP="00E25B9F">
      <w:pPr>
        <w:pStyle w:val="Heading2"/>
        <w:numPr>
          <w:ilvl w:val="0"/>
          <w:numId w:val="0"/>
        </w:numPr>
        <w:ind w:left="454"/>
      </w:pPr>
      <w:bookmarkStart w:id="14" w:name="_Toc153279950"/>
      <w:r w:rsidRPr="002C5C2A">
        <w:t>2.2. Fiksna komponenta</w:t>
      </w:r>
      <w:bookmarkEnd w:id="14"/>
      <w:r w:rsidRPr="002C5C2A">
        <w:t xml:space="preserve"> </w:t>
      </w:r>
    </w:p>
    <w:p w14:paraId="346956D0" w14:textId="77777777" w:rsidR="00BA4DE7" w:rsidRPr="002C5C2A" w:rsidRDefault="00BA4DE7" w:rsidP="00BA4DE7">
      <w:r w:rsidRPr="002C5C2A">
        <w:t>Član Uprave i menadžmenta za obavljeni rad ima pravo na osnovnu mjesečnu bruto plaću/naknadu. Fiksna mjesečna bruto plaća/naknada određuje se sukladno metodologiji</w:t>
      </w:r>
      <w:r w:rsidRPr="00C219D2">
        <w:t xml:space="preserve"> </w:t>
      </w:r>
      <w:r w:rsidRPr="002C5C2A">
        <w:t>vrednovanja radnog mjesta, uključujući konkurentnost na tržištu te raspon plaća za isto, složenošću pojedinog posla i radnog mjesta, odgovornostima radnog mjesta te potrebnom kvalifikacijom sukladno opisu radnog mjesta, a isplaćuje se mjesečno na datum isplate plaće.</w:t>
      </w:r>
    </w:p>
    <w:p w14:paraId="48342CA0" w14:textId="77777777" w:rsidR="00BA4DE7" w:rsidRPr="002C5C2A" w:rsidRDefault="00BA4DE7" w:rsidP="00E25B9F">
      <w:pPr>
        <w:pStyle w:val="Heading2"/>
        <w:numPr>
          <w:ilvl w:val="0"/>
          <w:numId w:val="0"/>
        </w:numPr>
        <w:ind w:left="454"/>
      </w:pPr>
      <w:bookmarkStart w:id="15" w:name="_Toc153279951"/>
      <w:r w:rsidRPr="002C5C2A">
        <w:t>2.3. Varijabilna komponenta</w:t>
      </w:r>
      <w:bookmarkEnd w:id="15"/>
      <w:r w:rsidRPr="002C5C2A">
        <w:t xml:space="preserve"> </w:t>
      </w:r>
    </w:p>
    <w:p w14:paraId="14A0BF68" w14:textId="77777777" w:rsidR="00BA4DE7" w:rsidRPr="002C5C2A" w:rsidRDefault="00BA4DE7" w:rsidP="00BA4DE7">
      <w:r w:rsidRPr="002C5C2A">
        <w:t>Član Uprave i menadžmenta ima pravo na godišnji bonus kao varijabilni dio definiran postotkom (%) ukupne godišnje bruto plaće, za razdoblje ocjenjivanja te ovisno o ocjeni učinka temeljem odluke Nadzornog odbora Društva.</w:t>
      </w:r>
    </w:p>
    <w:p w14:paraId="75DBC4FB" w14:textId="77777777" w:rsidR="00BA4DE7" w:rsidRPr="002C5C2A" w:rsidRDefault="00BA4DE7" w:rsidP="00BA4DE7">
      <w:r w:rsidRPr="002C5C2A">
        <w:t>Nadzorni odbor donosi odluku o definiranju individualnih ciljeva (KPI - ključni pokazatelji uspješnosti) za svaku referentnu godinu kako slijedi:</w:t>
      </w:r>
    </w:p>
    <w:p w14:paraId="0B20C6F9" w14:textId="77777777" w:rsidR="00BA4DE7" w:rsidRPr="002C5C2A" w:rsidRDefault="00BA4DE7" w:rsidP="00BA4DE7">
      <w:r w:rsidRPr="002C5C2A">
        <w:t>- u pravilu se postavlja do 6 individualnih ciljeva,</w:t>
      </w:r>
    </w:p>
    <w:p w14:paraId="037E069E" w14:textId="77777777" w:rsidR="00BA4DE7" w:rsidRPr="002C5C2A" w:rsidRDefault="00BA4DE7" w:rsidP="00BA4DE7">
      <w:r w:rsidRPr="002C5C2A">
        <w:t>- za svaki cilj definira se pripadajući ponder u postotku (%) s time da ukupan zbroj pondera svih individualnih ciljeva iznosi 100%,</w:t>
      </w:r>
    </w:p>
    <w:p w14:paraId="14D08BCE" w14:textId="77777777" w:rsidR="00BA4DE7" w:rsidRPr="002C5C2A" w:rsidRDefault="00BA4DE7" w:rsidP="00BA4DE7">
      <w:r w:rsidRPr="002C5C2A">
        <w:t>- u pravilu  korporativni ciljevi CIAK Grupe predstavljaju individualne ciljeve članova Uprave</w:t>
      </w:r>
      <w:r w:rsidR="00D93CEA" w:rsidRPr="002C5C2A">
        <w:t xml:space="preserve"> i menadžmenta.</w:t>
      </w:r>
    </w:p>
    <w:p w14:paraId="1F901E5A" w14:textId="77777777" w:rsidR="00BA4DE7" w:rsidRPr="002C5C2A" w:rsidRDefault="00BA4DE7" w:rsidP="00BA4DE7">
      <w:r w:rsidRPr="002C5C2A">
        <w:t xml:space="preserve">Nadzorni odbor donosi odluku o evaluaciji ciljeva na način da se evaluira ostvarenje svakog pojedinačnog cilja u skladu s ostvarenim rezultatima i financijskim pokazateljima Društva koje u pravilu priprema organizacijske jedinica odgovorna za Financije. </w:t>
      </w:r>
    </w:p>
    <w:p w14:paraId="76E9253B" w14:textId="77777777" w:rsidR="00BA4DE7" w:rsidRPr="002C5C2A" w:rsidRDefault="00BA4DE7" w:rsidP="00BA4DE7">
      <w:r w:rsidRPr="002C5C2A">
        <w:t>Točan iznos bonusa u izračun stavlja godišnju fiksnu bruto plaću, ciljani postotak (%) bonusa i ukupne ostvarene vrijednosti ostvarenja ciljeva članova Uprave</w:t>
      </w:r>
      <w:r w:rsidR="00D93CEA" w:rsidRPr="002C5C2A">
        <w:t xml:space="preserve"> i menadžmenta</w:t>
      </w:r>
      <w:r w:rsidRPr="002C5C2A">
        <w:t>.</w:t>
      </w:r>
    </w:p>
    <w:p w14:paraId="69462DA9" w14:textId="77777777" w:rsidR="00BA4DE7" w:rsidRPr="00C219D2" w:rsidRDefault="00BA4DE7" w:rsidP="00BA4DE7">
      <w:r w:rsidRPr="002C5C2A">
        <w:lastRenderedPageBreak/>
        <w:t>Isplata varijabilnog dijela plaće vrši se</w:t>
      </w:r>
      <w:r w:rsidR="00D93CEA" w:rsidRPr="002C5C2A">
        <w:t xml:space="preserve"> u pravilu</w:t>
      </w:r>
      <w:r w:rsidRPr="002C5C2A">
        <w:t xml:space="preserve"> jednom godišnje za prethodnu godinu, nakon provedene evaluacije ciljeva</w:t>
      </w:r>
      <w:r w:rsidR="00D93CEA" w:rsidRPr="002C5C2A">
        <w:t xml:space="preserve">, a može i drugačijom dinamikom sukladno </w:t>
      </w:r>
      <w:r w:rsidR="00F4566F" w:rsidRPr="002C5C2A">
        <w:t>odluci o isplati na koju Nadzorni odbor daje suglasnost.</w:t>
      </w:r>
    </w:p>
    <w:p w14:paraId="44529585" w14:textId="77777777" w:rsidR="00BA4DE7" w:rsidRPr="002C5C2A" w:rsidRDefault="00BA4DE7" w:rsidP="00BA4DE7">
      <w:r w:rsidRPr="002C5C2A">
        <w:t>Sustav praćenja radnog učinka omogućuje vlasnicima/dioničarima Društva da se poslovno ponašanje i odluke menadžmenta usmjeravaju prema ostvarivanju kratkoročnih i dugoročnih ciljeva Društva. Iz perspektive vlasnika/dioničara Društva krajnji cilj je kreiranje dodane vrijednosti i osiguranje rasta profita, što se postiže kroz specifično definirane ciljeve (EBITDA, OPEX, CAPEX, itd.) kojima se daje jasna smjernica menadžmentu društva u predstojećem poslovnom razdoblju, a u skladu s poslovnim planovima društva.</w:t>
      </w:r>
    </w:p>
    <w:p w14:paraId="2F3EE316" w14:textId="77777777" w:rsidR="00BA4DE7" w:rsidRPr="002C5C2A" w:rsidRDefault="00BA4DE7" w:rsidP="00E25B9F">
      <w:pPr>
        <w:pStyle w:val="Heading2"/>
        <w:numPr>
          <w:ilvl w:val="0"/>
          <w:numId w:val="0"/>
        </w:numPr>
        <w:ind w:left="454"/>
      </w:pPr>
      <w:bookmarkStart w:id="16" w:name="_Toc153279952"/>
      <w:r w:rsidRPr="002C5C2A">
        <w:t>2.4. Dugor</w:t>
      </w:r>
      <w:r w:rsidR="00F4566F" w:rsidRPr="002C5C2A">
        <w:t>o</w:t>
      </w:r>
      <w:r w:rsidRPr="002C5C2A">
        <w:t>čna varijabilna komponenta</w:t>
      </w:r>
      <w:bookmarkEnd w:id="16"/>
      <w:r w:rsidRPr="002C5C2A">
        <w:t xml:space="preserve"> </w:t>
      </w:r>
    </w:p>
    <w:p w14:paraId="1A9A9FAE" w14:textId="77777777" w:rsidR="00BA4DE7" w:rsidRPr="002C5C2A" w:rsidRDefault="00BA4DE7" w:rsidP="00BA4DE7">
      <w:r w:rsidRPr="002C5C2A">
        <w:t xml:space="preserve">Cilj dugoročne varijabilne komponente nagrađivanja je osigurati dugoročan rast i prosperitet Društva te osigurati  </w:t>
      </w:r>
      <w:r w:rsidR="00D93CEA" w:rsidRPr="002C5C2A">
        <w:t xml:space="preserve">realizaciju </w:t>
      </w:r>
      <w:r w:rsidRPr="002C5C2A">
        <w:t>dugoročnih ciljeva Društva.</w:t>
      </w:r>
    </w:p>
    <w:p w14:paraId="38ECA423" w14:textId="77777777" w:rsidR="00BA4DE7" w:rsidRPr="002C5C2A" w:rsidRDefault="00BA4DE7" w:rsidP="00BA4DE7">
      <w:r w:rsidRPr="002C5C2A">
        <w:t xml:space="preserve">Pravo na isplatu višegodišnjih bonusa kroz dugoročnu varijabilnu komponentu nagrade utvrđuje Nadzorni odbor Društva temeljem postignutih rezultata Društva i osobnog doprinosa člana Uprave </w:t>
      </w:r>
      <w:r w:rsidR="00D93CEA" w:rsidRPr="002C5C2A">
        <w:t xml:space="preserve">i menadžmenta </w:t>
      </w:r>
      <w:r w:rsidRPr="002C5C2A">
        <w:t>tijekom ugovorenog razdoblja, odnosno postignuća zadanih ciljeva (KPI-eva).</w:t>
      </w:r>
    </w:p>
    <w:p w14:paraId="6961A8F5" w14:textId="77777777" w:rsidR="00BA4DE7" w:rsidRPr="002C5C2A" w:rsidRDefault="00BA4DE7" w:rsidP="00E25B9F">
      <w:pPr>
        <w:pStyle w:val="Heading2"/>
        <w:numPr>
          <w:ilvl w:val="0"/>
          <w:numId w:val="0"/>
        </w:numPr>
        <w:ind w:left="454"/>
      </w:pPr>
      <w:bookmarkStart w:id="17" w:name="_Toc153279953"/>
      <w:r w:rsidRPr="002C5C2A">
        <w:t>2.5. Dionice i ostalo</w:t>
      </w:r>
      <w:bookmarkEnd w:id="17"/>
    </w:p>
    <w:p w14:paraId="629B9B77" w14:textId="77777777" w:rsidR="00BA4DE7" w:rsidRPr="002C5C2A" w:rsidRDefault="00BA4DE7" w:rsidP="00BA4DE7">
      <w:r w:rsidRPr="002C5C2A">
        <w:t>Društvo može odlučiti da godišnji/višegodišnji bonus isplati dodjelom vlastitih dionica u kojem slučaju član Uprave</w:t>
      </w:r>
      <w:r w:rsidR="00D93CEA" w:rsidRPr="002C5C2A">
        <w:t xml:space="preserve"> i menadžmenta</w:t>
      </w:r>
      <w:r w:rsidRPr="002C5C2A">
        <w:t xml:space="preserve"> dionice stječe u trenutku u kojem bi inače primio i novčanu uplatu na ime bonusa</w:t>
      </w:r>
      <w:r w:rsidR="00F4566F" w:rsidRPr="002C5C2A">
        <w:t>.</w:t>
      </w:r>
    </w:p>
    <w:p w14:paraId="06A8039E" w14:textId="77777777" w:rsidR="00BA4DE7" w:rsidRPr="002C5C2A" w:rsidRDefault="00BA4DE7" w:rsidP="00BA4DE7">
      <w:r w:rsidRPr="002C5C2A">
        <w:t xml:space="preserve">Društvo može odrediti da član Uprave </w:t>
      </w:r>
      <w:r w:rsidR="00F4566F" w:rsidRPr="002C5C2A">
        <w:t xml:space="preserve">i menadžmenta </w:t>
      </w:r>
      <w:r w:rsidRPr="002C5C2A">
        <w:t>dionicama dodijeljenim na ime godišnjeg/višegodišnjeg bonusa može raspolagati tek po isteku određenog vremena</w:t>
      </w:r>
      <w:r w:rsidR="00D93CEA" w:rsidRPr="002C5C2A">
        <w:t xml:space="preserve">, a isto će se regulirati </w:t>
      </w:r>
      <w:r w:rsidR="00F4566F" w:rsidRPr="002C5C2A">
        <w:t xml:space="preserve">pojedinačnim </w:t>
      </w:r>
      <w:r w:rsidR="00D93CEA" w:rsidRPr="002C5C2A">
        <w:t>ugovorom o prijenosu dionica.</w:t>
      </w:r>
      <w:r w:rsidRPr="002C5C2A">
        <w:t xml:space="preserve"> </w:t>
      </w:r>
    </w:p>
    <w:p w14:paraId="769F80A3" w14:textId="77777777" w:rsidR="00BA4DE7" w:rsidRPr="00C219D2" w:rsidRDefault="00BA4DE7" w:rsidP="00BA4DE7">
      <w:r w:rsidRPr="002C5C2A">
        <w:t>Društvo može odlučiti da godišnji/višegodišnji bonus isplat</w:t>
      </w:r>
      <w:r w:rsidR="00F4566F" w:rsidRPr="002C5C2A">
        <w:t>i i</w:t>
      </w:r>
      <w:r w:rsidRPr="002C5C2A">
        <w:t xml:space="preserve"> u bilo kojem drugom, za Društvo prihvatljivom obliku.</w:t>
      </w:r>
    </w:p>
    <w:p w14:paraId="6016EEEA" w14:textId="77777777" w:rsidR="00BA4DE7" w:rsidRPr="00C219D2" w:rsidRDefault="00BA4DE7" w:rsidP="00E25B9F">
      <w:pPr>
        <w:pStyle w:val="Heading1"/>
        <w:numPr>
          <w:ilvl w:val="0"/>
          <w:numId w:val="0"/>
        </w:numPr>
        <w:ind w:left="255"/>
      </w:pPr>
      <w:bookmarkStart w:id="18" w:name="_Toc153279954"/>
      <w:r w:rsidRPr="00C219D2">
        <w:t>3. Menadžerski ugovor</w:t>
      </w:r>
      <w:bookmarkEnd w:id="18"/>
    </w:p>
    <w:p w14:paraId="6AD87107" w14:textId="77777777" w:rsidR="008E2C48" w:rsidRPr="002C5C2A" w:rsidRDefault="008E2C48" w:rsidP="00BA4DE7">
      <w:r w:rsidRPr="002C5C2A">
        <w:t xml:space="preserve">CIAK Grupa može sa menadžerom (član Uprave i menadžmenta) sklopiti menadžerski ugovor kojim se između ostalog reguliraju prava i dužnosti menadžera, vrsta i iznos primanja menadžera (plaća, naknada troškova, nagrada, ostala primanja), pitanje poslovne tajne i zabrane konkurencije, trajanje ugovora, uvjeti i načini prestanka ugovora te uvjeti isplate otpremnine. </w:t>
      </w:r>
    </w:p>
    <w:p w14:paraId="0C751A93" w14:textId="77777777" w:rsidR="005E28D6" w:rsidRPr="002C5C2A" w:rsidRDefault="00BA4DE7" w:rsidP="00E25B9F">
      <w:pPr>
        <w:pStyle w:val="Heading1"/>
        <w:numPr>
          <w:ilvl w:val="0"/>
          <w:numId w:val="0"/>
        </w:numPr>
        <w:ind w:left="255"/>
      </w:pPr>
      <w:bookmarkStart w:id="19" w:name="_Toc153279955"/>
      <w:r w:rsidRPr="002C5C2A">
        <w:t xml:space="preserve">4. </w:t>
      </w:r>
      <w:r w:rsidR="005E28D6" w:rsidRPr="002C5C2A">
        <w:t>POSTUPANJE NADZORNOG ODBORA I ODSTUPANJE OD POLITIKE PRIMITAKA</w:t>
      </w:r>
      <w:bookmarkEnd w:id="19"/>
    </w:p>
    <w:p w14:paraId="038924CA" w14:textId="77777777" w:rsidR="0048177E" w:rsidRPr="002C5C2A" w:rsidRDefault="005E28D6" w:rsidP="005E28D6">
      <w:r w:rsidRPr="002C5C2A">
        <w:t xml:space="preserve">Nadzorni odbor </w:t>
      </w:r>
      <w:r w:rsidR="0048177E" w:rsidRPr="002C5C2A">
        <w:t>odlučuje o primjeni Politike primitaka.</w:t>
      </w:r>
    </w:p>
    <w:p w14:paraId="3F551361" w14:textId="77777777" w:rsidR="005E28D6" w:rsidRPr="002C5C2A" w:rsidRDefault="005E28D6" w:rsidP="005E28D6">
      <w:r w:rsidRPr="002C5C2A">
        <w:t>Nadzorni odbor ovlašten je privremeno odstupiti od Politike primitaka ukoliko je to neophodno za očuvanje interesa Društva odnosno ukoliko bi postupanje u skladu s Politikom primitaka Društvu nanijelo znatnu štetu.</w:t>
      </w:r>
    </w:p>
    <w:p w14:paraId="3DD53A58" w14:textId="77777777" w:rsidR="005E28D6" w:rsidRPr="002C5C2A" w:rsidRDefault="005E28D6" w:rsidP="005E28D6"/>
    <w:p w14:paraId="382C0E19" w14:textId="77777777" w:rsidR="005E28D6" w:rsidRPr="002C5C2A" w:rsidRDefault="005E28D6" w:rsidP="00E25B9F">
      <w:pPr>
        <w:pStyle w:val="Heading1"/>
        <w:numPr>
          <w:ilvl w:val="0"/>
          <w:numId w:val="0"/>
        </w:numPr>
        <w:ind w:left="255"/>
      </w:pPr>
      <w:bookmarkStart w:id="20" w:name="_Toc153279956"/>
      <w:r w:rsidRPr="002C5C2A">
        <w:t>5. IZVJEŠĆE O PRIMICIMA</w:t>
      </w:r>
      <w:bookmarkEnd w:id="20"/>
    </w:p>
    <w:p w14:paraId="0D259D8B" w14:textId="77777777" w:rsidR="005E28D6" w:rsidRPr="002C5C2A" w:rsidRDefault="005E28D6" w:rsidP="005E28D6">
      <w:r w:rsidRPr="002C5C2A">
        <w:t xml:space="preserve">Uprava i Nadzorni odbor jednom godišnje sastavljaju izvješće o primicima koje je Društvo ili drugo društvo u sastavu iste grupe isplatilo ili se obvezalo isplatiti sadašnjem ili bivšem članu </w:t>
      </w:r>
      <w:r w:rsidRPr="002C5C2A">
        <w:lastRenderedPageBreak/>
        <w:t>Uprave i Nadzornog odbora tijekom posljednje poslovne godine te isto izvješće dostavlja Glavnoj skupštini na raspravljanje kao posebnu točku dnevnog reda skupštine.</w:t>
      </w:r>
    </w:p>
    <w:p w14:paraId="77198368" w14:textId="77777777" w:rsidR="005E28D6" w:rsidRDefault="005E28D6" w:rsidP="005E28D6">
      <w:r w:rsidRPr="002C5C2A">
        <w:t>Izvješće o primicima ispituje i revizor koji ispituje godišnja financijska izvješća ukoliko tako određuju pozitivni propisi.</w:t>
      </w:r>
    </w:p>
    <w:p w14:paraId="28D3298A" w14:textId="77777777" w:rsidR="005E28D6" w:rsidRPr="005E28D6" w:rsidRDefault="005E28D6" w:rsidP="005E28D6"/>
    <w:p w14:paraId="47ED573E" w14:textId="77777777" w:rsidR="00BA4DE7" w:rsidRPr="002C5C2A" w:rsidRDefault="00D57F8D" w:rsidP="00E25B9F">
      <w:pPr>
        <w:pStyle w:val="Heading1"/>
        <w:numPr>
          <w:ilvl w:val="0"/>
          <w:numId w:val="0"/>
        </w:numPr>
        <w:ind w:left="255"/>
      </w:pPr>
      <w:bookmarkStart w:id="21" w:name="_Toc153279957"/>
      <w:r w:rsidRPr="002C5C2A">
        <w:t xml:space="preserve">6. </w:t>
      </w:r>
      <w:r w:rsidR="00BA4DE7" w:rsidRPr="002C5C2A">
        <w:t>Završne odredbe</w:t>
      </w:r>
      <w:bookmarkEnd w:id="21"/>
    </w:p>
    <w:p w14:paraId="7738C3A1" w14:textId="77777777" w:rsidR="00BA4DE7" w:rsidRPr="00C219D2" w:rsidRDefault="005E28D6" w:rsidP="00BA4DE7">
      <w:r w:rsidRPr="002C5C2A">
        <w:t>Ovu Politiku primitaka utvrđuje Nadzorni odob</w:t>
      </w:r>
      <w:r w:rsidR="00D57F8D" w:rsidRPr="002C5C2A">
        <w:t>o</w:t>
      </w:r>
      <w:r w:rsidRPr="002C5C2A">
        <w:t>r te istu podnosi Glavnoj skupštini na odobrenje.</w:t>
      </w:r>
    </w:p>
    <w:p w14:paraId="57B5FD16" w14:textId="77777777" w:rsidR="00BA4DE7" w:rsidRPr="00C219D2" w:rsidRDefault="00BA4DE7" w:rsidP="00BA4DE7">
      <w:r w:rsidRPr="00C219D2">
        <w:t>Ova Politika primjenjuj</w:t>
      </w:r>
      <w:r>
        <w:t>u</w:t>
      </w:r>
      <w:r w:rsidR="002C5C2A">
        <w:t xml:space="preserve"> se za razdoblje od 4 godine odnosno</w:t>
      </w:r>
      <w:r w:rsidR="00825AB1">
        <w:t xml:space="preserve"> </w:t>
      </w:r>
      <w:r w:rsidR="002C5C2A">
        <w:t xml:space="preserve">za razdoblje </w:t>
      </w:r>
      <w:r w:rsidRPr="002C5C2A">
        <w:t>202</w:t>
      </w:r>
      <w:r w:rsidR="00825AB1" w:rsidRPr="002C5C2A">
        <w:t>4</w:t>
      </w:r>
      <w:r w:rsidRPr="002C5C2A">
        <w:t>. - 2027. (uključivo).</w:t>
      </w:r>
    </w:p>
    <w:p w14:paraId="7BBB09BC" w14:textId="77777777" w:rsidR="00BA4DE7" w:rsidRPr="00C219D2" w:rsidRDefault="00BA4DE7" w:rsidP="00BA4DE7">
      <w:r w:rsidRPr="00C219D2">
        <w:t xml:space="preserve">Ova politika stupa na snagu na dan kada </w:t>
      </w:r>
      <w:r w:rsidR="00280D34">
        <w:t>istu</w:t>
      </w:r>
      <w:r w:rsidRPr="00C219D2">
        <w:t xml:space="preserve"> odobri Glavna Skupština Društva.</w:t>
      </w:r>
    </w:p>
    <w:p w14:paraId="51715BD8" w14:textId="77777777" w:rsidR="00BA4DE7" w:rsidRDefault="00BA4DE7" w:rsidP="00BA4DE7">
      <w:r w:rsidRPr="00C219D2">
        <w:t>Odluke Glavne Skupštine i Politika primitaka objavljuj</w:t>
      </w:r>
      <w:r>
        <w:t>u</w:t>
      </w:r>
      <w:r w:rsidRPr="00C219D2">
        <w:t xml:space="preserve"> se i čine dostupnima na razdoblje od 10 godina.</w:t>
      </w:r>
    </w:p>
    <w:p w14:paraId="04DD52B3" w14:textId="77777777" w:rsidR="00B61F78" w:rsidRDefault="00B61F78" w:rsidP="00BA4DE7"/>
    <w:p w14:paraId="39BA5FB7" w14:textId="77777777" w:rsidR="00B61F78" w:rsidRDefault="00B61F78" w:rsidP="00BA4DE7"/>
    <w:p w14:paraId="3DF6BC48" w14:textId="77777777" w:rsidR="00B61F78" w:rsidRDefault="00B61F78" w:rsidP="00BA4DE7"/>
    <w:p w14:paraId="3DA1F6F7" w14:textId="77777777" w:rsidR="00B61F78" w:rsidRDefault="00B61F78" w:rsidP="00BA4DE7"/>
    <w:p w14:paraId="098C2F49" w14:textId="77777777" w:rsidR="00B61F78" w:rsidRDefault="00B61F78" w:rsidP="00BA4DE7"/>
    <w:p w14:paraId="61FEB6EB" w14:textId="77777777" w:rsidR="00B61F78" w:rsidRDefault="00B61F78" w:rsidP="00BA4DE7"/>
    <w:p w14:paraId="03BC4671" w14:textId="77777777" w:rsidR="00B61F78" w:rsidRDefault="00B61F78" w:rsidP="00BA4DE7">
      <w:pPr>
        <w:rPr>
          <w:i/>
        </w:rPr>
      </w:pPr>
      <w:r>
        <w:rPr>
          <w:i/>
        </w:rPr>
        <w:t xml:space="preserve">Ova </w:t>
      </w:r>
      <w:r w:rsidRPr="00B61F78">
        <w:rPr>
          <w:i/>
        </w:rPr>
        <w:t xml:space="preserve">Politika </w:t>
      </w:r>
      <w:r>
        <w:rPr>
          <w:i/>
        </w:rPr>
        <w:t xml:space="preserve">primitaka </w:t>
      </w:r>
      <w:r w:rsidRPr="00B61F78">
        <w:rPr>
          <w:i/>
        </w:rPr>
        <w:t xml:space="preserve">odobrena </w:t>
      </w:r>
      <w:r>
        <w:rPr>
          <w:i/>
        </w:rPr>
        <w:t xml:space="preserve">je </w:t>
      </w:r>
      <w:r w:rsidRPr="00B61F78">
        <w:rPr>
          <w:i/>
        </w:rPr>
        <w:t>na Glavnoj skupštini društva dana 12.12.2023. godine</w:t>
      </w:r>
    </w:p>
    <w:p w14:paraId="68E71432" w14:textId="77777777" w:rsidR="00B61F78" w:rsidRPr="00B61F78" w:rsidRDefault="00B61F78" w:rsidP="00B61F78">
      <w:pPr>
        <w:ind w:left="6480"/>
        <w:rPr>
          <w:i/>
        </w:rPr>
      </w:pPr>
      <w:r>
        <w:rPr>
          <w:i/>
        </w:rPr>
        <w:t>CIAK Grupa d.d.</w:t>
      </w:r>
    </w:p>
    <w:sectPr w:rsidR="00B61F78" w:rsidRPr="00B61F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BB42" w14:textId="77777777" w:rsidR="00645E27" w:rsidRDefault="00645E27" w:rsidP="00BA4DE7">
      <w:pPr>
        <w:spacing w:before="0" w:after="0"/>
      </w:pPr>
      <w:r>
        <w:separator/>
      </w:r>
    </w:p>
  </w:endnote>
  <w:endnote w:type="continuationSeparator" w:id="0">
    <w:p w14:paraId="6D21751F" w14:textId="77777777" w:rsidR="00645E27" w:rsidRDefault="00645E27" w:rsidP="00BA4D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731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25A6E" w14:textId="77777777" w:rsidR="00BA4DE7" w:rsidRDefault="00BA4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F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F4069A" w14:textId="77777777" w:rsidR="00BA4DE7" w:rsidRDefault="00BA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BF8D" w14:textId="77777777" w:rsidR="00645E27" w:rsidRDefault="00645E27" w:rsidP="00BA4DE7">
      <w:pPr>
        <w:spacing w:before="0" w:after="0"/>
      </w:pPr>
      <w:r>
        <w:separator/>
      </w:r>
    </w:p>
  </w:footnote>
  <w:footnote w:type="continuationSeparator" w:id="0">
    <w:p w14:paraId="3258AD52" w14:textId="77777777" w:rsidR="00645E27" w:rsidRDefault="00645E27" w:rsidP="00BA4D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17E1" w14:textId="77777777" w:rsidR="00BA4DE7" w:rsidRDefault="00BA4DE7">
    <w:pPr>
      <w:pStyle w:val="Header"/>
    </w:pPr>
    <w:r w:rsidRPr="005235FE">
      <w:rPr>
        <w:noProof/>
        <w:lang w:val="en-GB" w:eastAsia="en-GB"/>
      </w:rPr>
      <w:drawing>
        <wp:inline distT="0" distB="0" distL="0" distR="0" wp14:anchorId="323B875C" wp14:editId="30C4B229">
          <wp:extent cx="1219200" cy="438150"/>
          <wp:effectExtent l="0" t="0" r="0" b="0"/>
          <wp:docPr id="4" name="Picture 1" descr="CIAK_grupa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K_grupa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EDF51" w14:textId="77777777" w:rsidR="00BA4DE7" w:rsidRDefault="00BA4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650E"/>
    <w:multiLevelType w:val="hybridMultilevel"/>
    <w:tmpl w:val="3CD2971C"/>
    <w:lvl w:ilvl="0" w:tplc="93906064">
      <w:start w:val="1"/>
      <w:numFmt w:val="decimal"/>
      <w:pStyle w:val="stavke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9C490A"/>
    <w:multiLevelType w:val="multilevel"/>
    <w:tmpl w:val="DCEAA634"/>
    <w:lvl w:ilvl="0">
      <w:start w:val="1"/>
      <w:numFmt w:val="decimal"/>
      <w:pStyle w:val="Heading1"/>
      <w:suff w:val="space"/>
      <w:lvlText w:val="%1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618" w:hanging="618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Heading51"/>
      <w:suff w:val="space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Heading61"/>
      <w:suff w:val="space"/>
      <w:lvlText w:val="%1.%2.%3.%4.%5.%6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22946446">
    <w:abstractNumId w:val="0"/>
  </w:num>
  <w:num w:numId="2" w16cid:durableId="163783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E7"/>
    <w:rsid w:val="000142A0"/>
    <w:rsid w:val="00126A06"/>
    <w:rsid w:val="0022056A"/>
    <w:rsid w:val="00280D34"/>
    <w:rsid w:val="002A3D20"/>
    <w:rsid w:val="002C5C2A"/>
    <w:rsid w:val="0048177E"/>
    <w:rsid w:val="0056310C"/>
    <w:rsid w:val="005E28D6"/>
    <w:rsid w:val="00645E27"/>
    <w:rsid w:val="00747C45"/>
    <w:rsid w:val="00825AB1"/>
    <w:rsid w:val="008E2C48"/>
    <w:rsid w:val="009670ED"/>
    <w:rsid w:val="00A00D52"/>
    <w:rsid w:val="00B61F78"/>
    <w:rsid w:val="00B71919"/>
    <w:rsid w:val="00BA4DE7"/>
    <w:rsid w:val="00CA23FA"/>
    <w:rsid w:val="00CB5039"/>
    <w:rsid w:val="00D57F8D"/>
    <w:rsid w:val="00D93CEA"/>
    <w:rsid w:val="00E25B9F"/>
    <w:rsid w:val="00F4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58CC"/>
  <w15:chartTrackingRefBased/>
  <w15:docId w15:val="{F75655B5-28D0-4B9F-937F-089A0EB6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E7"/>
    <w:pPr>
      <w:spacing w:before="60" w:after="120" w:line="240" w:lineRule="auto"/>
      <w:jc w:val="both"/>
    </w:pPr>
    <w:rPr>
      <w:rFonts w:ascii="Arial" w:eastAsia="Times New Roman" w:hAnsi="Arial" w:cs="Times New Roman"/>
      <w:color w:val="000000"/>
      <w:szCs w:val="24"/>
      <w:lang w:val="hr-HR" w:eastAsia="hu-HU"/>
    </w:rPr>
  </w:style>
  <w:style w:type="paragraph" w:styleId="Heading1">
    <w:name w:val="heading 1"/>
    <w:next w:val="Normal"/>
    <w:link w:val="Heading1Char"/>
    <w:qFormat/>
    <w:rsid w:val="00BA4DE7"/>
    <w:pPr>
      <w:keepNext/>
      <w:numPr>
        <w:numId w:val="2"/>
      </w:numPr>
      <w:spacing w:before="240" w:after="120" w:line="240" w:lineRule="auto"/>
      <w:outlineLvl w:val="0"/>
    </w:pPr>
    <w:rPr>
      <w:rFonts w:ascii="Arial" w:eastAsia="Times New Roman" w:hAnsi="Arial" w:cs="Arial"/>
      <w:b/>
      <w:bCs/>
      <w:caps/>
      <w:color w:val="000000"/>
      <w:kern w:val="32"/>
      <w:sz w:val="28"/>
      <w:szCs w:val="28"/>
      <w:lang w:val="hr-HR" w:eastAsia="hu-HU"/>
    </w:rPr>
  </w:style>
  <w:style w:type="paragraph" w:styleId="Heading2">
    <w:name w:val="heading 2"/>
    <w:next w:val="Normal"/>
    <w:link w:val="Heading2Char"/>
    <w:qFormat/>
    <w:rsid w:val="00BA4DE7"/>
    <w:pPr>
      <w:keepNext/>
      <w:numPr>
        <w:ilvl w:val="1"/>
        <w:numId w:val="2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color w:val="000000"/>
      <w:sz w:val="28"/>
      <w:szCs w:val="28"/>
      <w:lang w:val="hr-HR" w:eastAsia="hu-HU"/>
    </w:rPr>
  </w:style>
  <w:style w:type="paragraph" w:styleId="Heading3">
    <w:name w:val="heading 3"/>
    <w:next w:val="Normal"/>
    <w:link w:val="Heading3Char"/>
    <w:qFormat/>
    <w:rsid w:val="00BA4DE7"/>
    <w:pPr>
      <w:keepNext/>
      <w:numPr>
        <w:ilvl w:val="2"/>
        <w:numId w:val="2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bCs/>
      <w:color w:val="000000"/>
      <w:sz w:val="24"/>
      <w:szCs w:val="26"/>
      <w:lang w:val="hr-HR" w:eastAsia="hu-HU"/>
    </w:rPr>
  </w:style>
  <w:style w:type="paragraph" w:styleId="Heading4">
    <w:name w:val="heading 4"/>
    <w:next w:val="Normal"/>
    <w:link w:val="Heading4Char"/>
    <w:qFormat/>
    <w:rsid w:val="00BA4DE7"/>
    <w:pPr>
      <w:keepNext/>
      <w:numPr>
        <w:ilvl w:val="3"/>
        <w:numId w:val="2"/>
      </w:numPr>
      <w:spacing w:before="240" w:after="120" w:line="240" w:lineRule="auto"/>
      <w:outlineLvl w:val="3"/>
    </w:pPr>
    <w:rPr>
      <w:rFonts w:ascii="Arial" w:eastAsia="Times New Roman" w:hAnsi="Arial" w:cs="Times New Roman"/>
      <w:b/>
      <w:bCs/>
      <w:color w:val="000000"/>
      <w:szCs w:val="28"/>
      <w:lang w:val="hr-HR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Text">
    <w:name w:val="Title Text"/>
    <w:next w:val="Normal"/>
    <w:rsid w:val="00BA4DE7"/>
    <w:pPr>
      <w:spacing w:before="120" w:after="120" w:line="240" w:lineRule="auto"/>
      <w:jc w:val="center"/>
    </w:pPr>
    <w:rPr>
      <w:rFonts w:ascii="Arial" w:eastAsia="Times New Roman" w:hAnsi="Arial" w:cs="Arial"/>
      <w:b/>
      <w:color w:val="000000"/>
      <w:sz w:val="32"/>
      <w:szCs w:val="28"/>
      <w:lang w:val="hr-HR" w:eastAsia="hu-HU"/>
    </w:rPr>
  </w:style>
  <w:style w:type="paragraph" w:styleId="Header">
    <w:name w:val="header"/>
    <w:basedOn w:val="Normal"/>
    <w:link w:val="HeaderChar"/>
    <w:uiPriority w:val="99"/>
    <w:unhideWhenUsed/>
    <w:rsid w:val="00BA4DE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4DE7"/>
  </w:style>
  <w:style w:type="paragraph" w:styleId="Footer">
    <w:name w:val="footer"/>
    <w:basedOn w:val="Normal"/>
    <w:link w:val="FooterChar"/>
    <w:uiPriority w:val="99"/>
    <w:unhideWhenUsed/>
    <w:rsid w:val="00BA4DE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4DE7"/>
  </w:style>
  <w:style w:type="paragraph" w:customStyle="1" w:styleId="StyleCentered">
    <w:name w:val="Style Centered"/>
    <w:basedOn w:val="Normal"/>
    <w:next w:val="Normal"/>
    <w:rsid w:val="00BA4DE7"/>
    <w:pPr>
      <w:jc w:val="center"/>
    </w:pPr>
  </w:style>
  <w:style w:type="paragraph" w:styleId="TOC3">
    <w:name w:val="toc 3"/>
    <w:basedOn w:val="Normal"/>
    <w:next w:val="Normal"/>
    <w:autoRedefine/>
    <w:uiPriority w:val="39"/>
    <w:rsid w:val="00BA4DE7"/>
    <w:pPr>
      <w:spacing w:before="0" w:after="0"/>
      <w:ind w:left="440"/>
      <w:jc w:val="left"/>
    </w:pPr>
    <w:rPr>
      <w:rFonts w:ascii="Times New Roman" w:hAnsi="Times New Roman"/>
      <w:i/>
      <w:iCs/>
      <w:sz w:val="20"/>
      <w:szCs w:val="20"/>
    </w:rPr>
  </w:style>
  <w:style w:type="character" w:styleId="Hyperlink">
    <w:name w:val="Hyperlink"/>
    <w:uiPriority w:val="99"/>
    <w:rsid w:val="00BA4DE7"/>
    <w:rPr>
      <w:rFonts w:ascii="Arial" w:hAnsi="Arial"/>
      <w:iCs/>
      <w:color w:val="0000FF"/>
      <w:sz w:val="22"/>
      <w:u w:val="single"/>
      <w:lang w:val="hr-HR"/>
    </w:rPr>
  </w:style>
  <w:style w:type="paragraph" w:styleId="TOC1">
    <w:name w:val="toc 1"/>
    <w:basedOn w:val="Normal"/>
    <w:next w:val="Normal"/>
    <w:autoRedefine/>
    <w:uiPriority w:val="39"/>
    <w:rsid w:val="00BA4DE7"/>
    <w:pPr>
      <w:spacing w:before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BA4DE7"/>
    <w:pPr>
      <w:spacing w:before="0" w:after="0"/>
      <w:ind w:left="220"/>
      <w:jc w:val="left"/>
    </w:pPr>
    <w:rPr>
      <w:rFonts w:ascii="Times New Roman" w:hAnsi="Times New Roman"/>
      <w:small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A4DE7"/>
    <w:rPr>
      <w:rFonts w:ascii="Arial" w:eastAsia="Times New Roman" w:hAnsi="Arial" w:cs="Arial"/>
      <w:b/>
      <w:bCs/>
      <w:caps/>
      <w:color w:val="000000"/>
      <w:kern w:val="32"/>
      <w:sz w:val="28"/>
      <w:szCs w:val="28"/>
      <w:lang w:val="hr-HR" w:eastAsia="hu-HU"/>
    </w:rPr>
  </w:style>
  <w:style w:type="character" w:customStyle="1" w:styleId="Heading2Char">
    <w:name w:val="Heading 2 Char"/>
    <w:basedOn w:val="DefaultParagraphFont"/>
    <w:link w:val="Heading2"/>
    <w:rsid w:val="00BA4DE7"/>
    <w:rPr>
      <w:rFonts w:ascii="Arial" w:eastAsia="Times New Roman" w:hAnsi="Arial" w:cs="Times New Roman"/>
      <w:b/>
      <w:color w:val="000000"/>
      <w:sz w:val="28"/>
      <w:szCs w:val="28"/>
      <w:lang w:val="hr-HR" w:eastAsia="hu-HU"/>
    </w:rPr>
  </w:style>
  <w:style w:type="character" w:customStyle="1" w:styleId="Heading3Char">
    <w:name w:val="Heading 3 Char"/>
    <w:basedOn w:val="DefaultParagraphFont"/>
    <w:link w:val="Heading3"/>
    <w:rsid w:val="00BA4DE7"/>
    <w:rPr>
      <w:rFonts w:ascii="Arial" w:eastAsia="Times New Roman" w:hAnsi="Arial" w:cs="Times New Roman"/>
      <w:b/>
      <w:bCs/>
      <w:color w:val="000000"/>
      <w:sz w:val="24"/>
      <w:szCs w:val="26"/>
      <w:lang w:val="hr-HR" w:eastAsia="hu-HU"/>
    </w:rPr>
  </w:style>
  <w:style w:type="character" w:customStyle="1" w:styleId="Heading4Char">
    <w:name w:val="Heading 4 Char"/>
    <w:basedOn w:val="DefaultParagraphFont"/>
    <w:link w:val="Heading4"/>
    <w:rsid w:val="00BA4DE7"/>
    <w:rPr>
      <w:rFonts w:ascii="Arial" w:eastAsia="Times New Roman" w:hAnsi="Arial" w:cs="Times New Roman"/>
      <w:b/>
      <w:bCs/>
      <w:color w:val="000000"/>
      <w:szCs w:val="28"/>
      <w:lang w:val="hr-HR" w:eastAsia="hu-HU"/>
    </w:rPr>
  </w:style>
  <w:style w:type="paragraph" w:customStyle="1" w:styleId="stavke">
    <w:name w:val="stavke()"/>
    <w:rsid w:val="00BA4DE7"/>
    <w:pPr>
      <w:numPr>
        <w:numId w:val="1"/>
      </w:numPr>
      <w:spacing w:before="60" w:after="60" w:line="240" w:lineRule="auto"/>
      <w:jc w:val="both"/>
    </w:pPr>
    <w:rPr>
      <w:rFonts w:ascii="Arial" w:eastAsia="Times New Roman" w:hAnsi="Arial" w:cs="Times New Roman"/>
      <w:color w:val="000000"/>
      <w:szCs w:val="24"/>
      <w:lang w:val="hr-HR" w:eastAsia="hu-HU"/>
    </w:rPr>
  </w:style>
  <w:style w:type="paragraph" w:customStyle="1" w:styleId="Heading51">
    <w:name w:val="Heading 51"/>
    <w:next w:val="Normal"/>
    <w:rsid w:val="00BA4DE7"/>
    <w:pPr>
      <w:keepNext/>
      <w:numPr>
        <w:ilvl w:val="4"/>
        <w:numId w:val="2"/>
      </w:numPr>
      <w:spacing w:before="240" w:after="120" w:line="240" w:lineRule="auto"/>
    </w:pPr>
    <w:rPr>
      <w:rFonts w:ascii="Arial" w:eastAsia="Times New Roman" w:hAnsi="Arial" w:cs="Times New Roman"/>
      <w:b/>
      <w:i/>
      <w:color w:val="000000"/>
      <w:lang w:val="hr-HR" w:eastAsia="hu-HU"/>
    </w:rPr>
  </w:style>
  <w:style w:type="paragraph" w:customStyle="1" w:styleId="Heading61">
    <w:name w:val="Heading 61"/>
    <w:next w:val="Normal"/>
    <w:rsid w:val="00BA4DE7"/>
    <w:pPr>
      <w:keepNext/>
      <w:numPr>
        <w:ilvl w:val="5"/>
        <w:numId w:val="2"/>
      </w:numPr>
      <w:spacing w:before="240" w:after="120" w:line="240" w:lineRule="auto"/>
    </w:pPr>
    <w:rPr>
      <w:rFonts w:ascii="Arial" w:eastAsia="Times New Roman" w:hAnsi="Arial" w:cs="Times New Roman"/>
      <w:b/>
      <w:i/>
      <w:color w:val="000000"/>
      <w:szCs w:val="28"/>
      <w:lang w:val="hr-HR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F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78"/>
    <w:rPr>
      <w:rFonts w:ascii="Segoe UI" w:eastAsia="Times New Roman" w:hAnsi="Segoe UI" w:cs="Segoe UI"/>
      <w:color w:val="000000"/>
      <w:sz w:val="18"/>
      <w:szCs w:val="18"/>
      <w:lang w:val="hr-HR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6314-56B8-4944-8D99-A6FD6074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Kordej</dc:creator>
  <cp:keywords/>
  <dc:description/>
  <cp:lastModifiedBy>Ivona Radoš</cp:lastModifiedBy>
  <cp:revision>2</cp:revision>
  <cp:lastPrinted>2023-12-11T11:37:00Z</cp:lastPrinted>
  <dcterms:created xsi:type="dcterms:W3CDTF">2023-12-12T12:26:00Z</dcterms:created>
  <dcterms:modified xsi:type="dcterms:W3CDTF">2023-12-12T12:26:00Z</dcterms:modified>
</cp:coreProperties>
</file>